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88" w:rsidRDefault="00FF3B88" w:rsidP="0074751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</w:p>
    <w:p w:rsidR="00ED7281" w:rsidRDefault="00ED7281" w:rsidP="0074751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</w:p>
    <w:p w:rsidR="0074751A" w:rsidRPr="0074751A" w:rsidRDefault="0074751A" w:rsidP="0074751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  <w:r w:rsidRPr="0074751A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What is GTC Bridge?</w:t>
      </w:r>
      <w:r w:rsidR="00FF3B88">
        <w:rPr>
          <w:rFonts w:ascii="Calibri" w:eastAsia="Times New Roman" w:hAnsi="Calibri" w:cs="Calibri"/>
          <w:b/>
          <w:bCs/>
          <w:noProof/>
          <w:color w:val="22222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838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1695450" cy="41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46F" w:rsidRDefault="005B246F" w:rsidP="0074751A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22222"/>
          <w:sz w:val="28"/>
          <w:szCs w:val="28"/>
        </w:rPr>
      </w:pPr>
    </w:p>
    <w:p w:rsidR="0074751A" w:rsidRDefault="00FF3B88" w:rsidP="0074751A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22222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4362495</wp:posOffset>
            </wp:positionH>
            <wp:positionV relativeFrom="paragraph">
              <wp:posOffset>758825</wp:posOffset>
            </wp:positionV>
            <wp:extent cx="1274445" cy="1915227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y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91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GTC Bridge is an online learning 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>platform</w:t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 where 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Teen Challenge staff </w:t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can take eLearning courses 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>for staff training and</w:t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 professional growth. 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>The training courses</w:t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 may also 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>include</w:t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 quizzes 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and checkpoints </w:t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to test 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>one’s</w:t>
      </w:r>
      <w:r w:rsidR="0074751A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 knowledge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. Some courses </w:t>
      </w:r>
      <w:r w:rsidR="005B246F">
        <w:rPr>
          <w:rFonts w:ascii="Calibri" w:eastAsia="Times New Roman" w:hAnsi="Calibri" w:cs="Calibri"/>
          <w:bCs/>
          <w:color w:val="222222"/>
          <w:sz w:val="28"/>
          <w:szCs w:val="28"/>
        </w:rPr>
        <w:t>offer</w:t>
      </w:r>
      <w:r w:rsidR="005B246F" w:rsidRPr="005B246F">
        <w:rPr>
          <w:rFonts w:ascii="Calibri" w:eastAsia="Times New Roman" w:hAnsi="Calibri" w:cs="Calibri"/>
          <w:bCs/>
          <w:color w:val="222222"/>
          <w:sz w:val="28"/>
          <w:szCs w:val="28"/>
        </w:rPr>
        <w:t xml:space="preserve"> certification. </w:t>
      </w:r>
    </w:p>
    <w:p w:rsidR="005B246F" w:rsidRPr="005B246F" w:rsidRDefault="005B246F" w:rsidP="0074751A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22222"/>
          <w:sz w:val="28"/>
          <w:szCs w:val="28"/>
        </w:rPr>
      </w:pPr>
    </w:p>
    <w:p w:rsidR="005B246F" w:rsidRPr="00E41784" w:rsidRDefault="005B246F" w:rsidP="005B246F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E41784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Currently</w:t>
      </w:r>
      <w:r w:rsidR="003B3A10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,</w:t>
      </w:r>
      <w:r w:rsidRPr="00E41784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training is offered in the following categories:</w:t>
      </w:r>
      <w:r w:rsidRPr="00E41784">
        <w:rPr>
          <w:b/>
          <w:sz w:val="28"/>
          <w:szCs w:val="28"/>
        </w:rPr>
        <w:t xml:space="preserve"> </w:t>
      </w:r>
    </w:p>
    <w:p w:rsidR="005B246F" w:rsidRPr="005B246F" w:rsidRDefault="005B246F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5B246F">
        <w:rPr>
          <w:rFonts w:ascii="Calibri" w:eastAsia="Times New Roman" w:hAnsi="Calibri" w:cs="Calibri"/>
          <w:bCs/>
          <w:color w:val="222222"/>
          <w:sz w:val="24"/>
          <w:szCs w:val="36"/>
        </w:rPr>
        <w:t xml:space="preserve">New Staff Orientation </w:t>
      </w:r>
    </w:p>
    <w:p w:rsidR="005B246F" w:rsidRPr="005B246F" w:rsidRDefault="005B246F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5B246F">
        <w:rPr>
          <w:rFonts w:ascii="Calibri" w:eastAsia="Times New Roman" w:hAnsi="Calibri" w:cs="Calibri"/>
          <w:bCs/>
          <w:color w:val="222222"/>
          <w:sz w:val="24"/>
          <w:szCs w:val="36"/>
        </w:rPr>
        <w:t>PSNL - GSNL Teacher/Facilitator Training</w:t>
      </w:r>
    </w:p>
    <w:p w:rsidR="005B246F" w:rsidRPr="005B246F" w:rsidRDefault="005B246F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5B246F">
        <w:rPr>
          <w:rFonts w:ascii="Calibri" w:eastAsia="Times New Roman" w:hAnsi="Calibri" w:cs="Calibri"/>
          <w:bCs/>
          <w:color w:val="222222"/>
          <w:sz w:val="24"/>
          <w:szCs w:val="36"/>
        </w:rPr>
        <w:t>Discipleship &amp; Direct Care Helping Skills</w:t>
      </w:r>
    </w:p>
    <w:p w:rsidR="005B246F" w:rsidRPr="005B246F" w:rsidRDefault="005B246F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5B246F">
        <w:rPr>
          <w:rFonts w:ascii="Calibri" w:eastAsia="Times New Roman" w:hAnsi="Calibri" w:cs="Calibri"/>
          <w:bCs/>
          <w:color w:val="222222"/>
          <w:sz w:val="24"/>
          <w:szCs w:val="36"/>
        </w:rPr>
        <w:t>Personal &amp; Spiritual Growth</w:t>
      </w:r>
    </w:p>
    <w:p w:rsidR="005B246F" w:rsidRPr="005B246F" w:rsidRDefault="005B246F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5B246F">
        <w:rPr>
          <w:rFonts w:ascii="Calibri" w:eastAsia="Times New Roman" w:hAnsi="Calibri" w:cs="Calibri"/>
          <w:bCs/>
          <w:color w:val="222222"/>
          <w:sz w:val="24"/>
          <w:szCs w:val="36"/>
        </w:rPr>
        <w:t>Program Development</w:t>
      </w:r>
    </w:p>
    <w:p w:rsidR="005B246F" w:rsidRPr="005B246F" w:rsidRDefault="005B246F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5B246F">
        <w:rPr>
          <w:rFonts w:ascii="Calibri" w:eastAsia="Times New Roman" w:hAnsi="Calibri" w:cs="Calibri"/>
          <w:bCs/>
          <w:color w:val="222222"/>
          <w:sz w:val="24"/>
          <w:szCs w:val="36"/>
        </w:rPr>
        <w:t>Communication &amp; Marketing</w:t>
      </w:r>
    </w:p>
    <w:p w:rsidR="005B246F" w:rsidRDefault="005B246F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5B246F">
        <w:rPr>
          <w:rFonts w:ascii="Calibri" w:eastAsia="Times New Roman" w:hAnsi="Calibri" w:cs="Calibri"/>
          <w:bCs/>
          <w:color w:val="222222"/>
          <w:sz w:val="24"/>
          <w:szCs w:val="36"/>
        </w:rPr>
        <w:t>Fund Raising</w:t>
      </w:r>
    </w:p>
    <w:p w:rsidR="00E41784" w:rsidRDefault="00E41784" w:rsidP="005B246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Cs/>
          <w:color w:val="222222"/>
          <w:sz w:val="24"/>
          <w:szCs w:val="36"/>
        </w:rPr>
      </w:pPr>
    </w:p>
    <w:p w:rsidR="00E41784" w:rsidRDefault="00E41784" w:rsidP="00E4178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22222"/>
          <w:sz w:val="24"/>
          <w:szCs w:val="36"/>
        </w:rPr>
      </w:pPr>
      <w:r w:rsidRPr="00FF3B88">
        <w:rPr>
          <w:rFonts w:ascii="Calibri" w:eastAsia="Times New Roman" w:hAnsi="Calibri" w:cs="Calibri"/>
          <w:b/>
          <w:bCs/>
          <w:color w:val="222222"/>
          <w:sz w:val="24"/>
          <w:szCs w:val="36"/>
        </w:rPr>
        <w:t>Popular courses include</w:t>
      </w:r>
      <w:r>
        <w:rPr>
          <w:rFonts w:ascii="Calibri" w:eastAsia="Times New Roman" w:hAnsi="Calibri" w:cs="Calibri"/>
          <w:bCs/>
          <w:color w:val="222222"/>
          <w:sz w:val="24"/>
          <w:szCs w:val="36"/>
        </w:rPr>
        <w:t xml:space="preserve"> The DNA of Teen Challenge, Forgiveness, Foundations (History of Teen Challenge), PSNL Teacher Certification</w:t>
      </w:r>
      <w:r w:rsidR="003B3A10">
        <w:rPr>
          <w:rFonts w:ascii="Calibri" w:eastAsia="Times New Roman" w:hAnsi="Calibri" w:cs="Calibri"/>
          <w:bCs/>
          <w:color w:val="222222"/>
          <w:sz w:val="24"/>
          <w:szCs w:val="36"/>
        </w:rPr>
        <w:t>,</w:t>
      </w:r>
      <w:r>
        <w:rPr>
          <w:rFonts w:ascii="Calibri" w:eastAsia="Times New Roman" w:hAnsi="Calibri" w:cs="Calibri"/>
          <w:bCs/>
          <w:color w:val="222222"/>
          <w:sz w:val="24"/>
          <w:szCs w:val="36"/>
        </w:rPr>
        <w:t xml:space="preserve"> and Compassion without Compromise.</w:t>
      </w:r>
    </w:p>
    <w:p w:rsidR="00E41784" w:rsidRDefault="00E41784" w:rsidP="00E4178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22222"/>
          <w:sz w:val="24"/>
          <w:szCs w:val="36"/>
        </w:rPr>
      </w:pPr>
    </w:p>
    <w:p w:rsidR="0074751A" w:rsidRDefault="0074751A" w:rsidP="007827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</w:p>
    <w:p w:rsidR="00782772" w:rsidRDefault="00782772" w:rsidP="007827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</w:rPr>
      </w:pPr>
      <w:r w:rsidRPr="00782772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 xml:space="preserve">GTC Personal Studies Teacher </w:t>
      </w:r>
      <w:proofErr w:type="gramStart"/>
      <w:r w:rsidRPr="00782772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Certification</w:t>
      </w:r>
      <w:r w:rsidRPr="00782772">
        <w:rPr>
          <w:rFonts w:ascii="Calibri" w:eastAsia="Times New Roman" w:hAnsi="Calibri" w:cs="Calibri"/>
          <w:color w:val="222222"/>
        </w:rPr>
        <w:t>  -</w:t>
      </w:r>
      <w:proofErr w:type="gramEnd"/>
      <w:r w:rsidRPr="00782772">
        <w:rPr>
          <w:rFonts w:ascii="Calibri" w:eastAsia="Times New Roman" w:hAnsi="Calibri" w:cs="Calibri"/>
          <w:color w:val="222222"/>
        </w:rPr>
        <w:t> </w:t>
      </w:r>
      <w:r w:rsidRPr="00782772">
        <w:rPr>
          <w:rFonts w:ascii="Calibri" w:eastAsia="Times New Roman" w:hAnsi="Calibri" w:cs="Calibri"/>
          <w:b/>
          <w:bCs/>
          <w:color w:val="222222"/>
          <w:sz w:val="24"/>
        </w:rPr>
        <w:t>English, Spanish &amp; Russian</w:t>
      </w:r>
    </w:p>
    <w:p w:rsidR="00FF3B88" w:rsidRDefault="00FF3B88" w:rsidP="00782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499235" cy="836913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NL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13" cy="87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532665" cy="923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NC Logo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99" cy="96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399878" cy="904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S PSNC logo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11" cy="92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B88" w:rsidRDefault="00FF3B88" w:rsidP="00782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F3B88" w:rsidRPr="00782772" w:rsidRDefault="00FF3B88" w:rsidP="007827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82772" w:rsidRDefault="00782772" w:rsidP="0078277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We offer the</w:t>
      </w:r>
      <w:r w:rsidRPr="00782772">
        <w:rPr>
          <w:rFonts w:ascii="Calibri" w:eastAsia="Times New Roman" w:hAnsi="Calibri" w:cs="Calibri"/>
          <w:color w:val="222222"/>
          <w:sz w:val="28"/>
          <w:szCs w:val="28"/>
        </w:rPr>
        <w:t xml:space="preserve"> Personal Studies Teacher Certification available as an online course using our Bridge training platform. </w:t>
      </w:r>
      <w:r>
        <w:rPr>
          <w:rFonts w:ascii="Calibri" w:eastAsia="Times New Roman" w:hAnsi="Calibri" w:cs="Calibri"/>
          <w:color w:val="222222"/>
          <w:sz w:val="28"/>
          <w:szCs w:val="28"/>
        </w:rPr>
        <w:t>Upon successful completion, staff will be a certified Personal Studies teacher.</w:t>
      </w:r>
    </w:p>
    <w:p w:rsidR="00842B26" w:rsidRDefault="00842B26" w:rsidP="0078277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E41784" w:rsidRDefault="00842B26" w:rsidP="00842B26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For more info or to </w:t>
      </w:r>
      <w:proofErr w:type="spellStart"/>
      <w:r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enoll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</w:t>
      </w:r>
      <w:r w:rsidRPr="007025E7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write to 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gtc</w:t>
      </w:r>
      <w:r w:rsidRPr="007025E7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@globaltc.org.</w:t>
      </w:r>
    </w:p>
    <w:p w:rsidR="00FF3B88" w:rsidRDefault="00FF3B88" w:rsidP="00782772">
      <w:pPr>
        <w:shd w:val="clear" w:color="auto" w:fill="FFFFFF"/>
        <w:spacing w:line="209" w:lineRule="atLeast"/>
        <w:rPr>
          <w:rFonts w:ascii="Calibri" w:eastAsia="Times New Roman" w:hAnsi="Calibri" w:cs="Calibri"/>
          <w:b/>
          <w:bCs/>
          <w:color w:val="222222"/>
          <w:sz w:val="32"/>
          <w:szCs w:val="27"/>
        </w:rPr>
      </w:pPr>
    </w:p>
    <w:p w:rsidR="00FF3B88" w:rsidRDefault="00FF3B88" w:rsidP="00782772">
      <w:pPr>
        <w:shd w:val="clear" w:color="auto" w:fill="FFFFFF"/>
        <w:spacing w:line="209" w:lineRule="atLeast"/>
        <w:rPr>
          <w:rFonts w:ascii="Calibri" w:eastAsia="Times New Roman" w:hAnsi="Calibri" w:cs="Calibri"/>
          <w:b/>
          <w:bCs/>
          <w:color w:val="222222"/>
          <w:sz w:val="32"/>
          <w:szCs w:val="27"/>
        </w:rPr>
      </w:pPr>
      <w:bookmarkStart w:id="0" w:name="_GoBack"/>
      <w:bookmarkEnd w:id="0"/>
    </w:p>
    <w:sectPr w:rsidR="00FF3B88" w:rsidSect="005B2FC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77" w:rsidRDefault="007E4777" w:rsidP="005B2FCF">
      <w:pPr>
        <w:spacing w:after="0" w:line="240" w:lineRule="auto"/>
      </w:pPr>
      <w:r>
        <w:separator/>
      </w:r>
    </w:p>
  </w:endnote>
  <w:endnote w:type="continuationSeparator" w:id="0">
    <w:p w:rsidR="007E4777" w:rsidRDefault="007E4777" w:rsidP="005B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CF" w:rsidRDefault="00842B26">
    <w:pPr>
      <w:pStyle w:val="Footer"/>
    </w:pPr>
    <w:r>
      <w:t>04-14</w:t>
    </w:r>
    <w:r w:rsidR="00BA1FDE"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77" w:rsidRDefault="007E4777" w:rsidP="005B2FCF">
      <w:pPr>
        <w:spacing w:after="0" w:line="240" w:lineRule="auto"/>
      </w:pPr>
      <w:r>
        <w:separator/>
      </w:r>
    </w:p>
  </w:footnote>
  <w:footnote w:type="continuationSeparator" w:id="0">
    <w:p w:rsidR="007E4777" w:rsidRDefault="007E4777" w:rsidP="005B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yNDM3NrYwNjQ2tzRQ0lEKTi0uzszPAykwqQUA4K03iCwAAAA="/>
  </w:docVars>
  <w:rsids>
    <w:rsidRoot w:val="00782772"/>
    <w:rsid w:val="003A7B5A"/>
    <w:rsid w:val="003B3A10"/>
    <w:rsid w:val="004F1213"/>
    <w:rsid w:val="005B246F"/>
    <w:rsid w:val="005B2FCF"/>
    <w:rsid w:val="0074751A"/>
    <w:rsid w:val="00782772"/>
    <w:rsid w:val="007E4777"/>
    <w:rsid w:val="00842B26"/>
    <w:rsid w:val="00874303"/>
    <w:rsid w:val="0091276B"/>
    <w:rsid w:val="00A005A3"/>
    <w:rsid w:val="00A22EC0"/>
    <w:rsid w:val="00BA1FDE"/>
    <w:rsid w:val="00C33552"/>
    <w:rsid w:val="00D93966"/>
    <w:rsid w:val="00E305BA"/>
    <w:rsid w:val="00E33B74"/>
    <w:rsid w:val="00E41784"/>
    <w:rsid w:val="00ED7281"/>
    <w:rsid w:val="00FD7D25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C822"/>
  <w15:chartTrackingRefBased/>
  <w15:docId w15:val="{2742EE49-22E3-4F72-B43C-86AC981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CF"/>
  </w:style>
  <w:style w:type="paragraph" w:styleId="Footer">
    <w:name w:val="footer"/>
    <w:basedOn w:val="Normal"/>
    <w:link w:val="FooterChar"/>
    <w:uiPriority w:val="99"/>
    <w:unhideWhenUsed/>
    <w:rsid w:val="005B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Fischer</dc:creator>
  <cp:keywords/>
  <dc:description/>
  <cp:lastModifiedBy>Gregg Fischer</cp:lastModifiedBy>
  <cp:revision>3</cp:revision>
  <dcterms:created xsi:type="dcterms:W3CDTF">2022-04-14T21:04:00Z</dcterms:created>
  <dcterms:modified xsi:type="dcterms:W3CDTF">2022-04-14T21:09:00Z</dcterms:modified>
</cp:coreProperties>
</file>